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6313" w:leader="none"/>
        </w:tabs>
        <w:rPr>
          <w:rFonts w:ascii="Marianne" w:hAnsi="Marianne"/>
        </w:rPr>
      </w:pPr>
      <w:r>
        <mc:AlternateContent>
          <mc:Choice Requires="wps">
            <w:drawing>
              <wp:anchor behindDoc="0" distT="0" distB="0" distL="112395" distR="113030" simplePos="0" locked="0" layoutInCell="0" allowOverlap="1" relativeHeight="9">
                <wp:simplePos x="0" y="0"/>
                <wp:positionH relativeFrom="column">
                  <wp:posOffset>3446780</wp:posOffset>
                </wp:positionH>
                <wp:positionV relativeFrom="paragraph">
                  <wp:posOffset>-581025</wp:posOffset>
                </wp:positionV>
                <wp:extent cx="4573905" cy="736600"/>
                <wp:effectExtent l="0" t="0" r="0" b="0"/>
                <wp:wrapSquare wrapText="right"/>
                <wp:docPr id="1" name="Cadr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3800" cy="736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er"/>
                              <w:tabs>
                                <w:tab w:val="left" w:pos="3735" w:leader="none"/>
                                <w:tab w:val="center" w:pos="4818" w:leader="none"/>
                                <w:tab w:val="right" w:pos="9637" w:leader="none"/>
                              </w:tabs>
                              <w:jc w:val="right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Secrétariat général</w:t>
                            </w:r>
                          </w:p>
                          <w:p>
                            <w:pPr>
                              <w:pStyle w:val="Header"/>
                              <w:tabs>
                                <w:tab w:val="left" w:pos="3735" w:leader="none"/>
                                <w:tab w:val="center" w:pos="4818" w:leader="none"/>
                                <w:tab w:val="right" w:pos="9637" w:leader="none"/>
                              </w:tabs>
                              <w:jc w:val="right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NSimSun" w:cs="Marianne" w:ascii="Marianne" w:hAnsi="Marianne"/>
                                <w:b/>
                                <w:bCs/>
                                <w:color w:val="000000"/>
                                <w:kern w:val="2"/>
                                <w:sz w:val="28"/>
                                <w:szCs w:val="28"/>
                                <w:lang w:bidi="hi-IN"/>
                              </w:rPr>
                              <w:t>pour les affaires régionales</w:t>
                            </w:r>
                          </w:p>
                        </w:txbxContent>
                      </wps:txbx>
                      <wps:bodyPr lIns="2520" rIns="2520" tIns="2520" bIns="25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3" path="m0,0l-2147483645,0l-2147483645,-2147483646l0,-2147483646xe" stroked="f" o:allowincell="f" style="position:absolute;margin-left:271.4pt;margin-top:-45.75pt;width:360.1pt;height:57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Header"/>
                        <w:tabs>
                          <w:tab w:val="left" w:pos="3735" w:leader="none"/>
                          <w:tab w:val="center" w:pos="4818" w:leader="none"/>
                          <w:tab w:val="right" w:pos="9637" w:leader="none"/>
                        </w:tabs>
                        <w:jc w:val="right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Secrétariat général</w:t>
                      </w:r>
                    </w:p>
                    <w:p>
                      <w:pPr>
                        <w:pStyle w:val="Header"/>
                        <w:tabs>
                          <w:tab w:val="left" w:pos="3735" w:leader="none"/>
                          <w:tab w:val="center" w:pos="4818" w:leader="none"/>
                          <w:tab w:val="right" w:pos="9637" w:leader="none"/>
                        </w:tabs>
                        <w:jc w:val="right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eastAsia="NSimSun" w:cs="Marianne" w:ascii="Marianne" w:hAnsi="Marianne"/>
                          <w:b/>
                          <w:bCs/>
                          <w:color w:val="000000"/>
                          <w:kern w:val="2"/>
                          <w:sz w:val="28"/>
                          <w:szCs w:val="28"/>
                          <w:lang w:bidi="hi-IN"/>
                        </w:rPr>
                        <w:t>pour les affaires régionales</w:t>
                      </w:r>
                    </w:p>
                  </w:txbxContent>
                </v:textbox>
                <w10:wrap type="square" side="right"/>
              </v:rect>
            </w:pict>
          </mc:Fallback>
        </mc:AlternateContent>
        <w:drawing>
          <wp:anchor behindDoc="0" distT="0" distB="0" distL="0" distR="0" simplePos="0" locked="0" layoutInCell="0" allowOverlap="1" relativeHeight="11">
            <wp:simplePos x="0" y="0"/>
            <wp:positionH relativeFrom="page">
              <wp:posOffset>457200</wp:posOffset>
            </wp:positionH>
            <wp:positionV relativeFrom="page">
              <wp:posOffset>266700</wp:posOffset>
            </wp:positionV>
            <wp:extent cx="1494155" cy="1466850"/>
            <wp:effectExtent l="0" t="0" r="0" b="0"/>
            <wp:wrapSquare wrapText="largest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3173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ianne" w:hAnsi="Marianne"/>
        </w:rPr>
        <w:tab/>
        <w:tab/>
        <w:tab/>
      </w:r>
    </w:p>
    <w:p>
      <w:pPr>
        <w:pStyle w:val="Heading1"/>
        <w:rPr>
          <w:rFonts w:ascii="Marianne" w:hAnsi="Marianne"/>
          <w:sz w:val="24"/>
        </w:rPr>
      </w:pPr>
      <w:r>
        <w:rPr>
          <w:rFonts w:ascii="Marianne" w:hAnsi="Marianne"/>
          <w:sz w:val="24"/>
        </w:rPr>
      </w:r>
    </w:p>
    <w:p>
      <w:pPr>
        <w:pStyle w:val="Heading1"/>
        <w:rPr>
          <w:rFonts w:ascii="Marianne" w:hAnsi="Marianne"/>
          <w:sz w:val="24"/>
        </w:rPr>
      </w:pPr>
      <w:r>
        <w:rPr>
          <w:rFonts w:ascii="Marianne" w:hAnsi="Marianne"/>
          <w:sz w:val="24"/>
        </w:rPr>
      </w:r>
    </w:p>
    <w:p>
      <w:pPr>
        <w:pStyle w:val="Heading1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hd w:fill="auto" w:val="clear"/>
        </w:rPr>
        <w:t xml:space="preserve">ANNEXE FINANCIÈRE – Bordereau des prix unitaires </w:t>
      </w:r>
    </w:p>
    <w:p>
      <w:pPr>
        <w:pStyle w:val="Normal"/>
        <w:jc w:val="center"/>
        <w:rPr>
          <w:sz w:val="24"/>
          <w:shd w:fill="auto" w:val="clear"/>
        </w:rPr>
      </w:pPr>
      <w:r>
        <w:rPr>
          <w:sz w:val="24"/>
          <w:shd w:fill="auto" w:val="clear"/>
        </w:rPr>
      </w:r>
    </w:p>
    <w:p>
      <w:pPr>
        <w:pStyle w:val="Normal"/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hd w:fill="auto" w:val="clear"/>
        </w:rPr>
        <w:t xml:space="preserve">LOT </w:t>
      </w:r>
      <w:r>
        <w:rPr>
          <w:rFonts w:ascii="Marianne" w:hAnsi="Marianne"/>
          <w:b/>
          <w:bCs/>
          <w:sz w:val="24"/>
          <w:shd w:fill="auto" w:val="clear"/>
        </w:rPr>
        <w:t>n° 1</w:t>
      </w:r>
    </w:p>
    <w:p>
      <w:pPr>
        <w:pStyle w:val="Normal"/>
        <w:jc w:val="center"/>
        <w:rPr>
          <w:rFonts w:ascii="Marianne" w:hAnsi="Marianne"/>
          <w:i/>
          <w:i/>
        </w:rPr>
      </w:pPr>
      <w:r>
        <w:rPr>
          <w:rFonts w:ascii="Marianne" w:hAnsi="Marianne"/>
          <w:i/>
        </w:rPr>
      </w:r>
    </w:p>
    <w:p>
      <w:pPr>
        <w:pStyle w:val="Normal"/>
        <w:jc w:val="center"/>
        <w:rPr>
          <w:rFonts w:ascii="Marianne" w:hAnsi="Marianne"/>
          <w:i/>
          <w:i/>
        </w:rPr>
      </w:pPr>
      <w:r>
        <w:rPr>
          <w:rFonts w:ascii="Marianne" w:hAnsi="Marianne"/>
          <w:i/>
        </w:rPr>
      </w:r>
    </w:p>
    <w:p>
      <w:pPr>
        <w:pStyle w:val="Normal"/>
        <w:jc w:val="center"/>
        <w:rPr>
          <w:rFonts w:ascii="Marianne" w:hAnsi="Marianne"/>
          <w:i/>
          <w:i/>
        </w:rPr>
      </w:pPr>
      <w:r>
        <w:rPr>
          <w:rFonts w:ascii="Marianne" w:hAnsi="Marianne"/>
          <w:i/>
        </w:rPr>
      </w:r>
    </w:p>
    <w:tbl>
      <w:tblPr>
        <w:tblW w:w="12173" w:type="dxa"/>
        <w:jc w:val="left"/>
        <w:tblInd w:w="89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3"/>
      </w:tblGrid>
      <w:tr>
        <w:trPr/>
        <w:tc>
          <w:tcPr>
            <w:tcW w:w="12173" w:type="dxa"/>
            <w:tcBorders/>
          </w:tcPr>
          <w:p>
            <w:pPr>
              <w:pStyle w:val="Contenudetableau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  <w:shd w:fill="auto" w:val="clear"/>
              </w:rPr>
              <w:t>Marché de prestations d’assistance juridique et de représentation en justice de l’État (Préfecture des Bouches-du-Rhône) devant les juridictions judiciaires de première instance et d’appel dans le cadre de l’article L. 733-12 et des articles L. 741-1 et suivants du code de l’entrée et de séjour des étrangers et du droit d’asile</w:t>
            </w:r>
          </w:p>
        </w:tc>
      </w:tr>
    </w:tbl>
    <w:p>
      <w:pPr>
        <w:pStyle w:val="Normal"/>
        <w:jc w:val="both"/>
        <w:rPr>
          <w:rFonts w:ascii="Marianne" w:hAnsi="Marianne"/>
          <w:b/>
          <w:bCs/>
          <w:sz w:val="20"/>
        </w:rPr>
      </w:pPr>
      <w:r>
        <w:rPr>
          <w:rFonts w:ascii="Marianne" w:hAnsi="Marianne"/>
          <w:b/>
          <w:bCs/>
          <w:sz w:val="20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both"/>
        <w:rPr>
          <w:rFonts w:ascii="Marianne" w:hAnsi="Marianne"/>
          <w:i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tbl>
      <w:tblPr>
        <w:tblW w:w="13325" w:type="dxa"/>
        <w:jc w:val="center"/>
        <w:tblInd w:w="0" w:type="dxa"/>
        <w:tblLayout w:type="fixed"/>
        <w:tblCellMar>
          <w:top w:w="0" w:type="dxa"/>
          <w:left w:w="7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953"/>
        <w:gridCol w:w="3402"/>
        <w:gridCol w:w="1985"/>
        <w:gridCol w:w="1984"/>
      </w:tblGrid>
      <w:tr>
        <w:trPr>
          <w:trHeight w:val="345" w:hRule="atLeast"/>
        </w:trPr>
        <w:tc>
          <w:tcPr>
            <w:tcW w:w="9355" w:type="dxa"/>
            <w:gridSpan w:val="2"/>
            <w:tcBorders>
              <w:bottom w:val="single" w:sz="4" w:space="0" w:color="000000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PRIX HT</w:t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PRIX TTC</w:t>
            </w:r>
          </w:p>
        </w:tc>
      </w:tr>
      <w:tr>
        <w:trPr>
          <w:trHeight w:val="859" w:hRule="atLeast"/>
        </w:trPr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18"/>
                <w:szCs w:val="18"/>
                <w:u w:val="single"/>
              </w:rPr>
              <w:t>prix unitaire par dossier</w:t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  <w:shd w:fill="auto" w:val="clear"/>
              </w:rPr>
              <w:t>Prestation forfaitaire conformément à l’article 2 du CCP</w:t>
            </w:r>
          </w:p>
          <w:p>
            <w:pPr>
              <w:pStyle w:val="Normal"/>
              <w:rPr>
                <w:rFonts w:ascii="Marianne" w:hAnsi="Marianne"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i/>
                <w:sz w:val="18"/>
                <w:szCs w:val="18"/>
              </w:rPr>
            </w:r>
          </w:p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8"/>
                <w:tab w:val="left" w:pos="4528" w:leader="none"/>
              </w:tabs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Marianne" w:hAnsi="Marianne"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</w:rPr>
              <w:t>traitement d’un (1) dossier par audience</w:t>
            </w:r>
          </w:p>
          <w:p>
            <w:pPr>
              <w:pStyle w:val="Normal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457" w:hRule="atLeast"/>
        </w:trPr>
        <w:tc>
          <w:tcPr>
            <w:tcW w:w="59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Marianne" w:hAnsi="Marianne"/>
                <w:b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i/>
                <w:iCs/>
                <w:sz w:val="18"/>
                <w:szCs w:val="18"/>
              </w:rPr>
              <w:t>traitement de deux (2) à quatre (4) dossiers par audience</w:t>
            </w:r>
          </w:p>
          <w:p>
            <w:pPr>
              <w:pStyle w:val="Normal"/>
              <w:jc w:val="center"/>
              <w:rPr>
                <w:rFonts w:ascii="Marianne" w:hAnsi="Marianne"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i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457" w:hRule="atLeast"/>
        </w:trPr>
        <w:tc>
          <w:tcPr>
            <w:tcW w:w="5953" w:type="dxa"/>
            <w:vMerge w:val="continue"/>
            <w:tcBorders>
              <w:top w:val="single" w:sz="4" w:space="0" w:color="00000A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Marianne" w:hAnsi="Marianne"/>
                <w:b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</w:rPr>
              <w:t>traitement de cinq (5) dossiers et plus</w:t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i/>
                <w:iCs/>
                <w:sz w:val="18"/>
                <w:szCs w:val="18"/>
              </w:rPr>
              <w:t>par audience</w:t>
            </w:r>
          </w:p>
          <w:p>
            <w:pPr>
              <w:pStyle w:val="Normal"/>
              <w:jc w:val="center"/>
              <w:rPr>
                <w:rFonts w:ascii="Marianne" w:hAnsi="Marianne"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i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tbl>
      <w:tblPr>
        <w:tblW w:w="13325" w:type="dxa"/>
        <w:jc w:val="center"/>
        <w:tblInd w:w="0" w:type="dxa"/>
        <w:tblLayout w:type="fixed"/>
        <w:tblCellMar>
          <w:top w:w="0" w:type="dxa"/>
          <w:left w:w="7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953"/>
        <w:gridCol w:w="3402"/>
        <w:gridCol w:w="1984"/>
        <w:gridCol w:w="1985"/>
      </w:tblGrid>
      <w:tr>
        <w:trPr>
          <w:trHeight w:val="345" w:hRule="atLeast"/>
        </w:trPr>
        <w:tc>
          <w:tcPr>
            <w:tcW w:w="9355" w:type="dxa"/>
            <w:gridSpan w:val="2"/>
            <w:tcBorders>
              <w:bottom w:val="single" w:sz="4" w:space="0" w:color="000000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PRIX HT</w:t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PRIX TTC</w:t>
            </w:r>
          </w:p>
        </w:tc>
      </w:tr>
      <w:tr>
        <w:trPr>
          <w:trHeight w:val="859" w:hRule="atLeast"/>
        </w:trPr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18"/>
                <w:szCs w:val="18"/>
                <w:u w:val="single"/>
              </w:rPr>
              <w:t>prix unitaire majoré en cas d’audience le samedi, dimanche et jours fériés</w:t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  <w:shd w:fill="auto" w:val="clear"/>
              </w:rPr>
              <w:t>Prestation forfaitaire conformément à l’article 2 du CCP</w:t>
            </w:r>
          </w:p>
          <w:p>
            <w:pPr>
              <w:pStyle w:val="Normal"/>
              <w:rPr>
                <w:rFonts w:ascii="Marianne" w:hAnsi="Marianne"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i/>
                <w:sz w:val="18"/>
                <w:szCs w:val="18"/>
              </w:rPr>
            </w:r>
          </w:p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8"/>
                <w:tab w:val="left" w:pos="4528" w:leader="none"/>
              </w:tabs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Marianne" w:hAnsi="Marianne"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</w:rPr>
              <w:t>traitement d’un (1) dossier par audience</w:t>
            </w:r>
          </w:p>
          <w:p>
            <w:pPr>
              <w:pStyle w:val="Normal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457" w:hRule="atLeast"/>
        </w:trPr>
        <w:tc>
          <w:tcPr>
            <w:tcW w:w="59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Marianne" w:hAnsi="Marianne"/>
                <w:b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i/>
                <w:iCs/>
                <w:sz w:val="18"/>
                <w:szCs w:val="18"/>
              </w:rPr>
              <w:t>traitement de deux (2) à quatre (4) dossiers par audience</w:t>
            </w:r>
          </w:p>
          <w:p>
            <w:pPr>
              <w:pStyle w:val="Normal"/>
              <w:jc w:val="center"/>
              <w:rPr>
                <w:rFonts w:ascii="Marianne" w:hAnsi="Marianne"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i/>
                <w:sz w:val="18"/>
                <w:szCs w:val="18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457" w:hRule="atLeast"/>
        </w:trPr>
        <w:tc>
          <w:tcPr>
            <w:tcW w:w="5953" w:type="dxa"/>
            <w:vMerge w:val="continue"/>
            <w:tcBorders>
              <w:top w:val="single" w:sz="4" w:space="0" w:color="00000A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A"/>
              <w:bottom w:val="double" w:sz="4" w:space="0" w:color="000000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jc w:val="center"/>
              <w:rPr>
                <w:rFonts w:ascii="Marianne" w:hAnsi="Marianne"/>
                <w:b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/>
                <w:sz w:val="18"/>
                <w:szCs w:val="18"/>
              </w:rPr>
              <w:t>traitement de cinq (5) dossiers et plus</w:t>
            </w:r>
          </w:p>
          <w:p>
            <w:pPr>
              <w:pStyle w:val="Normal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i/>
                <w:iCs/>
                <w:sz w:val="18"/>
                <w:szCs w:val="18"/>
              </w:rPr>
              <w:t>par audience</w:t>
            </w:r>
          </w:p>
          <w:p>
            <w:pPr>
              <w:pStyle w:val="Normal"/>
              <w:jc w:val="center"/>
              <w:rPr>
                <w:rFonts w:ascii="Marianne" w:hAnsi="Marianne"/>
                <w:i/>
                <w:i/>
                <w:sz w:val="18"/>
                <w:szCs w:val="18"/>
              </w:rPr>
            </w:pPr>
            <w:r>
              <w:rPr>
                <w:rFonts w:ascii="Marianne" w:hAnsi="Marianne"/>
                <w:i/>
                <w:sz w:val="18"/>
                <w:szCs w:val="18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0" w:type="dxa"/>
            </w:tcMar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jc w:val="both"/>
        <w:rPr>
          <w:rFonts w:ascii="Marianne" w:hAnsi="Marianne"/>
        </w:rPr>
      </w:pPr>
      <w:r>
        <w:rPr>
          <w:rFonts w:ascii="Marianne" w:hAnsi="Marianne"/>
          <w:i/>
          <w:iCs/>
          <w:sz w:val="16"/>
          <w:szCs w:val="16"/>
        </w:rPr>
        <w:t>Les prix proposés valent quel que soit le degré de juridiction (hors Conseil d’État). Ces prix sont réputés comprendre tous les frais nécessaires à la réalisation des prestations y compris les frais d’études, de secrétariat, de déplacement, d’hébergement et de repas. Les prix sont valables quels que soient le moment et la durée de l’audience.</w:t>
      </w:r>
    </w:p>
    <w:p>
      <w:pPr>
        <w:pStyle w:val="Normal"/>
        <w:jc w:val="both"/>
        <w:rPr>
          <w:rFonts w:ascii="Marianne" w:hAnsi="Marianne"/>
          <w:i/>
          <w:i/>
          <w:iCs/>
          <w:sz w:val="16"/>
          <w:szCs w:val="16"/>
        </w:rPr>
      </w:pPr>
      <w:r>
        <w:rPr>
          <w:rFonts w:ascii="Marianne" w:hAnsi="Marianne"/>
          <w:i/>
          <w:iCs/>
          <w:sz w:val="16"/>
          <w:szCs w:val="16"/>
        </w:rPr>
      </w:r>
    </w:p>
    <w:p>
      <w:pPr>
        <w:pStyle w:val="Normal"/>
        <w:jc w:val="both"/>
        <w:rPr>
          <w:rFonts w:ascii="Marianne" w:hAnsi="Marianne"/>
        </w:rPr>
      </w:pPr>
      <w:r>
        <w:rPr>
          <w:rFonts w:ascii="Marianne" w:hAnsi="Marianne"/>
          <w:i/>
          <w:iCs/>
          <w:sz w:val="16"/>
          <w:szCs w:val="16"/>
        </w:rPr>
        <w:t>Pour le lot n°2, seuls les déplacements en Île-de-France seront remboursés sur présentation de justificatifs. Le remboursement ne pourra excéder le tarif SNCF de 2</w:t>
      </w:r>
      <w:r>
        <w:rPr>
          <w:rFonts w:ascii="Marianne" w:hAnsi="Marianne"/>
          <w:i/>
          <w:iCs/>
          <w:sz w:val="16"/>
          <w:szCs w:val="16"/>
          <w:vertAlign w:val="superscript"/>
        </w:rPr>
        <w:t>e</w:t>
      </w:r>
      <w:r>
        <w:rPr>
          <w:rFonts w:ascii="Marianne" w:hAnsi="Marianne"/>
          <w:i/>
          <w:iCs/>
          <w:sz w:val="16"/>
          <w:szCs w:val="16"/>
        </w:rPr>
        <w:t xml:space="preserve"> classe ou le transport en commun le moins onéreux. </w:t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both"/>
        <w:rPr>
          <w:rFonts w:ascii="Marianne" w:hAnsi="Marianne"/>
        </w:rPr>
      </w:pPr>
      <w:r>
        <w:rPr>
          <w:rFonts w:ascii="Marianne" w:hAnsi="Marianne"/>
          <w:sz w:val="22"/>
          <w:szCs w:val="22"/>
        </w:rPr>
        <w:t xml:space="preserve">Fait à </w:t>
        <w:tab/>
        <w:tab/>
        <w:tab/>
        <w:tab/>
        <w:tab/>
        <w:tab/>
        <w:tab/>
        <w:t>le</w:t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  <w:sz w:val="22"/>
          <w:szCs w:val="22"/>
        </w:rPr>
        <w:t>(cachet, nom, qualité, signature)</w:t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rFonts w:ascii="Marianne" w:hAnsi="Marianne"/>
          <w:b/>
          <w:i/>
          <w:i/>
          <w:sz w:val="24"/>
          <w:szCs w:val="24"/>
        </w:rPr>
      </w:pPr>
      <w:r>
        <w:rPr>
          <w:rFonts w:ascii="Marianne" w:hAnsi="Marianne"/>
          <w:b/>
          <w:i/>
          <w:sz w:val="24"/>
          <w:szCs w:val="24"/>
        </w:rPr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sectPr>
      <w:footerReference w:type="even" r:id="rId3"/>
      <w:footerReference w:type="default" r:id="rId4"/>
      <w:footerReference w:type="first" r:id="rId5"/>
      <w:type w:val="nextPage"/>
      <w:pgSz w:orient="landscape" w:w="16838" w:h="11906"/>
      <w:pgMar w:left="1418" w:right="1418" w:gutter="0" w:header="0" w:top="1418" w:footer="720" w:bottom="1418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Arial Black">
    <w:charset w:val="01"/>
    <w:family w:val="auto"/>
    <w:pitch w:val="default"/>
  </w:font>
  <w:font w:name="Arial">
    <w:charset w:val="01"/>
    <w:family w:val="auto"/>
    <w:pitch w:val="default"/>
  </w:font>
  <w:font w:name="Segoe UI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Marianne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Palatino Linotype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7" wp14:anchorId="4F6D597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5415"/>
              <wp:effectExtent l="0" t="0" r="0" b="0"/>
              <wp:wrapSquare wrapText="largest"/>
              <wp:docPr id="3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path="m0,0l-2147483645,0l-2147483645,-2147483646l0,-2147483646xe" stroked="f" o:allowincell="f" style="position:absolute;margin-left:698.85pt;margin-top:0.05pt;width:1.1pt;height:11.4pt;mso-wrap-style:none;v-text-anchor:middle;mso-position-horizontal:right;mso-position-horizontal-relative:margin" wp14:anchorId="4F6D597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7" wp14:anchorId="4F6D597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5415"/>
              <wp:effectExtent l="0" t="0" r="0" b="0"/>
              <wp:wrapSquare wrapText="largest"/>
              <wp:docPr id="4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path="m0,0l-2147483645,0l-2147483645,-2147483646l0,-2147483646xe" stroked="f" o:allowincell="f" style="position:absolute;margin-left:698.85pt;margin-top:0.05pt;width:1.1pt;height:11.4pt;mso-wrap-style:none;v-text-anchor:middle;mso-position-horizontal:right;mso-position-horizontal-relative:margin" wp14:anchorId="4F6D597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c109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Titre1Car"/>
    <w:qFormat/>
    <w:rsid w:val="00184719"/>
    <w:pPr>
      <w:keepNext w:val="true"/>
      <w:jc w:val="center"/>
      <w:outlineLvl w:val="0"/>
    </w:pPr>
    <w:rPr>
      <w:rFonts w:ascii="Arial Black" w:hAnsi="Arial Black"/>
      <w:u w:val="single"/>
    </w:rPr>
  </w:style>
  <w:style w:type="paragraph" w:styleId="Heading3">
    <w:name w:val="Heading 3"/>
    <w:basedOn w:val="Normal"/>
    <w:next w:val="Normal"/>
    <w:link w:val="Titre3Car"/>
    <w:qFormat/>
    <w:rsid w:val="00184719"/>
    <w:pPr>
      <w:keepNext w:val="true"/>
      <w:jc w:val="center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qFormat/>
    <w:rsid w:val="00184719"/>
    <w:rPr>
      <w:rFonts w:ascii="Arial Black" w:hAnsi="Arial Black" w:eastAsia="Times New Roman" w:cs="Times New Roman"/>
      <w:sz w:val="20"/>
      <w:szCs w:val="20"/>
      <w:u w:val="single"/>
      <w:lang w:eastAsia="fr-FR"/>
    </w:rPr>
  </w:style>
  <w:style w:type="character" w:styleId="Titre3Car" w:customStyle="1">
    <w:name w:val="Titre 3 Car"/>
    <w:basedOn w:val="DefaultParagraphFont"/>
    <w:qFormat/>
    <w:rsid w:val="00184719"/>
    <w:rPr>
      <w:rFonts w:ascii="Times New Roman" w:hAnsi="Times New Roman" w:eastAsia="Times New Roman" w:cs="Times New Roman"/>
      <w:sz w:val="28"/>
      <w:szCs w:val="20"/>
      <w:lang w:eastAsia="fr-FR"/>
    </w:rPr>
  </w:style>
  <w:style w:type="character" w:styleId="CorpsdetexteCar" w:customStyle="1">
    <w:name w:val="Corps de texte Car"/>
    <w:basedOn w:val="DefaultParagraphFont"/>
    <w:qFormat/>
    <w:rsid w:val="0018471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Corpsdetexte2Car" w:customStyle="1">
    <w:name w:val="Corps de texte 2 Car"/>
    <w:basedOn w:val="DefaultParagraphFont"/>
    <w:link w:val="BodyText2"/>
    <w:qFormat/>
    <w:rsid w:val="00184719"/>
    <w:rPr>
      <w:rFonts w:ascii="Arial" w:hAnsi="Arial" w:eastAsia="Times New Roman" w:cs="Times New Roman"/>
      <w:b/>
      <w:sz w:val="20"/>
      <w:szCs w:val="20"/>
      <w:lang w:eastAsia="fr-FR"/>
    </w:rPr>
  </w:style>
  <w:style w:type="character" w:styleId="PieddepageCar" w:customStyle="1">
    <w:name w:val="Pied de page Car"/>
    <w:basedOn w:val="DefaultParagraphFont"/>
    <w:qFormat/>
    <w:rsid w:val="0018471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PageNumber">
    <w:name w:val="Page Number"/>
    <w:basedOn w:val="DefaultParagraphFont"/>
    <w:qFormat/>
    <w:rsid w:val="00184719"/>
    <w:rPr/>
  </w:style>
  <w:style w:type="character" w:styleId="fontstyle01" w:customStyle="1">
    <w:name w:val="fontstyle01"/>
    <w:basedOn w:val="DefaultParagraphFont"/>
    <w:qFormat/>
    <w:rsid w:val="00184719"/>
    <w:rPr>
      <w:rFonts w:ascii="Arial" w:hAnsi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184719"/>
    <w:rPr>
      <w:rFonts w:ascii="Segoe UI" w:hAnsi="Segoe UI" w:eastAsia="Times New Roman" w:cs="Segoe UI"/>
      <w:sz w:val="18"/>
      <w:szCs w:val="18"/>
      <w:lang w:eastAsia="fr-F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84719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18471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184719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rsid w:val="00184719"/>
    <w:pPr>
      <w:jc w:val="both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2">
    <w:name w:val="Body Text 2"/>
    <w:basedOn w:val="Normal"/>
    <w:link w:val="Corpsdetexte2Car"/>
    <w:qFormat/>
    <w:rsid w:val="00184719"/>
    <w:pPr>
      <w:jc w:val="center"/>
    </w:pPr>
    <w:rPr>
      <w:rFonts w:ascii="Arial" w:hAnsi="Arial"/>
      <w:b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PieddepageCar"/>
    <w:rsid w:val="0018471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84719"/>
    <w:pPr>
      <w:spacing w:beforeAutospacing="1" w:after="119"/>
      <w:jc w:val="both"/>
    </w:pPr>
    <w:rPr>
      <w:rFonts w:ascii="Palatino Linotype" w:hAnsi="Palatino Linotype"/>
      <w:color w:val="000000"/>
      <w:sz w:val="22"/>
      <w:szCs w:val="22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184719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184719"/>
    <w:pPr/>
    <w:rPr/>
  </w:style>
  <w:style w:type="paragraph" w:styleId="annotationsubject">
    <w:name w:val="annotation subject"/>
    <w:basedOn w:val="AnnotationText"/>
    <w:link w:val="ObjetducommentaireCar"/>
    <w:uiPriority w:val="99"/>
    <w:semiHidden/>
    <w:unhideWhenUsed/>
    <w:qFormat/>
    <w:rsid w:val="00184719"/>
    <w:pPr/>
    <w:rPr>
      <w:b/>
      <w:bCs/>
    </w:rPr>
  </w:style>
  <w:style w:type="paragraph" w:styleId="Contenudecadre" w:customStyle="1">
    <w:name w:val="Contenu de cadre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8" w:leader="none"/>
        <w:tab w:val="right" w:pos="9637" w:leader="none"/>
      </w:tabs>
      <w:suppressAutoHyphens w:val="false"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3BF39-3588-48D6-9142-92A05C75C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3</Pages>
  <Words>252</Words>
  <Characters>1342</Characters>
  <CharactersWithSpaces>1582</CharactersWithSpaces>
  <Paragraphs>26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2025-07-07T17:50:26Z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